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28"/>
        <w:jc w:val="right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Приложение</w:t>
      </w:r>
    </w:p>
    <w:p>
      <w:pPr>
        <w:pStyle w:val="Normal"/>
        <w:spacing w:lineRule="auto" w:line="228"/>
        <w:jc w:val="right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к государственной программе «Развитие</w:t>
      </w:r>
    </w:p>
    <w:p>
      <w:pPr>
        <w:pStyle w:val="Normal"/>
        <w:spacing w:lineRule="auto" w:line="228"/>
        <w:jc w:val="right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сельского хозяйства и регулирование</w:t>
      </w:r>
    </w:p>
    <w:p>
      <w:pPr>
        <w:pStyle w:val="Normal"/>
        <w:spacing w:lineRule="auto" w:line="228"/>
        <w:jc w:val="right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рынков сельскохозяйственной продукции,</w:t>
      </w:r>
    </w:p>
    <w:p>
      <w:pPr>
        <w:pStyle w:val="Normal"/>
        <w:spacing w:lineRule="auto" w:line="228"/>
        <w:jc w:val="right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сырья и продовольствия Брянской области»</w:t>
      </w:r>
    </w:p>
    <w:p>
      <w:pPr>
        <w:pStyle w:val="Normal"/>
        <w:jc w:val="center"/>
        <w:rPr>
          <w:rFonts w:eastAsia="Calibri" w:eastAsiaTheme="minorHAnsi"/>
          <w:bCs/>
          <w:sz w:val="28"/>
          <w:szCs w:val="28"/>
          <w:lang w:eastAsia="en-US"/>
        </w:rPr>
      </w:pPr>
      <w:r>
        <w:rPr>
          <w:rFonts w:eastAsia="Calibri" w:eastAsiaTheme="minorHAnsi"/>
          <w:bCs/>
          <w:sz w:val="28"/>
          <w:szCs w:val="28"/>
          <w:lang w:eastAsia="en-US"/>
        </w:rPr>
      </w:r>
    </w:p>
    <w:p>
      <w:pPr>
        <w:pStyle w:val="Normal"/>
        <w:jc w:val="center"/>
        <w:rPr>
          <w:rFonts w:eastAsia="Calibri" w:eastAsiaTheme="minorHAnsi"/>
          <w:bCs/>
          <w:sz w:val="28"/>
          <w:szCs w:val="28"/>
          <w:lang w:eastAsia="en-US"/>
        </w:rPr>
      </w:pPr>
      <w:r>
        <w:rPr>
          <w:rFonts w:eastAsia="Calibri" w:eastAsiaTheme="minorHAnsi"/>
          <w:bCs/>
          <w:sz w:val="28"/>
          <w:szCs w:val="28"/>
          <w:lang w:eastAsia="en-US"/>
        </w:rPr>
        <w:t>Методика</w:t>
      </w:r>
    </w:p>
    <w:p>
      <w:pPr>
        <w:pStyle w:val="Normal"/>
        <w:jc w:val="center"/>
        <w:rPr>
          <w:rFonts w:eastAsia="Calibri" w:eastAsiaTheme="minorHAnsi"/>
          <w:bCs/>
          <w:sz w:val="28"/>
          <w:szCs w:val="28"/>
          <w:lang w:eastAsia="en-US"/>
        </w:rPr>
      </w:pPr>
      <w:r>
        <w:rPr>
          <w:rFonts w:eastAsia="Calibri" w:eastAsiaTheme="minorHAnsi"/>
          <w:bCs/>
          <w:sz w:val="28"/>
          <w:szCs w:val="28"/>
          <w:lang w:eastAsia="en-US"/>
        </w:rPr>
        <w:t>расчета показателей (индикаторов) государственной программы</w:t>
      </w:r>
    </w:p>
    <w:p>
      <w:pPr>
        <w:pStyle w:val="Normal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jc w:val="center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Показатели (индикаторы) государственной программы</w:t>
      </w:r>
    </w:p>
    <w:p>
      <w:pPr>
        <w:pStyle w:val="Normal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Индикаторы 1, 2, 3 - 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Индикаторы </w:t>
      </w:r>
      <w:hyperlink w:anchor="Par50">
        <w:r>
          <w:rPr>
            <w:rFonts w:eastAsia="Calibri" w:eastAsiaTheme="minorHAnsi"/>
            <w:sz w:val="28"/>
            <w:szCs w:val="28"/>
            <w:lang w:eastAsia="en-US"/>
          </w:rPr>
          <w:t>4</w:t>
        </w:r>
      </w:hyperlink>
      <w:r>
        <w:rPr>
          <w:rFonts w:eastAsia="Calibri" w:eastAsiaTheme="minorHAnsi"/>
          <w:sz w:val="28"/>
          <w:szCs w:val="28"/>
          <w:lang w:eastAsia="en-US"/>
        </w:rPr>
        <w:t>, 5, 6, 7, 8, 9 -</w:t>
      </w:r>
      <w:hyperlink w:anchor="Par61">
        <w:r>
          <w:rPr>
            <w:rFonts w:eastAsia="Calibri" w:eastAsiaTheme="minorHAnsi"/>
            <w:sz w:val="28"/>
            <w:szCs w:val="28"/>
            <w:lang w:eastAsia="en-US"/>
          </w:rPr>
          <w:t xml:space="preserve"> рассчитываются по данным территориального органа Федеральной службы государственной статистики по Брянской области по категориям хозяйств.</w:t>
        </w:r>
      </w:hyperlink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Индикатор 10 - 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Индикатор 11 рассчитывается по данным сводной бухгалтерской отчетности (Форма 2 «Отчет о финансовых результатах»).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Индикатор 12 - 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Показатели (индикаторы) основных мероприятий </w:t>
      </w:r>
    </w:p>
    <w:p>
      <w:pPr>
        <w:pStyle w:val="Normal"/>
        <w:ind w:firstLine="709"/>
        <w:jc w:val="center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(проектов (программ))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Индикаторы 13, 14, 15, 16, 17, 18, 19, 20, 21, 22, 23, 24, 25, 26, 27, 28, 29 - подтверждаются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30 - 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Индикаторы 31, 32, 33 - подтверждаются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Индикаторы 34, 35, 36, 37, 38 - 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Индикаторы 39, 40, 41, 42, 43, 44, 45, 46, 47, 48, 49 - подтверждаются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50 - рассчитывается как разность между производством молока за отчетный год и среднеарифметическим значением производства молока за предшествующие 5 лет в сельскохозяйственных организациях, крестьянских (фермерских) хозяйствах, включая индивидуальных предпринимателей, по данным территориального органа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51 - рассчитывается как разность между производством овощей открытого грунта в сельскохозяйственных организациях, крестьянских (фермерских) хозяйствах, включая индивидуальных предпринимателей, за отчетный год и предшествующий период по данным территориального органа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52, 53, 54 - 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55 - подтверждаются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56 - рассчитывается из фактических данных постоянного мониторинга департамента сельского хозяйства Брянской области с использованием коэффициентов, применяемых для перевода маточного поголовья сельскохозяйственных животных в условные головы, утвержденных приказом Минсельхоза России от 27 июля 2017 года № 373 «Об утверждении документов, предусмотренных правилами предоставления и распределения субсидий из федерального бюджета бюджетам субъектов Российской Федерации на содействие достижению целевых показателей региональных программ развития агропромышленного комплекса, приведенными в приложении № 9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№ 717 «О Государственной программе развития сельского хозяйства и регулирования рынков сельскохозяйственной продукции, сырья и продовольствия».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Индикаторы 57, 58, 59, 60 - подтверждаются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61 - данные подтверждаются сведениями ФГБУ «Брянскагрохимрадиология».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62 - рассчитывается как отношение поступления приплода телят от коров за отчетный период к поголовью коров (без коров на откорме и отгуле) по данным территориального органа Федеральной службы государственной статистики по Брянской области, умноженное на 100.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Индикаторы 63, 64, 65, 66 - подтверждаются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67 - данные подтверждаются постоянным мониторингом ГКУ Брянской области «Районное управление сельского хозяйства».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68 - 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69 - 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Индикаторы 70, 71 - подтверждаются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72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Rp = Rf / Rn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Rp - выполнение объема показателей ветеринарного обслуживания и контроля (%);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Rf - сумма запланированных на отчетный период значений показателей (баллов);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Rn - достигнутое за отчетный период значение показателей (баллов).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73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Do = Dz / Dn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Do - доля снятых (отмененных) ограничительных мероприятий (карантина) по заразным болезням животных на территории Брянской области в отчетном периоде (%);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Dz - количество снятых (отмененных) ограничительных мероприятий (карантина) по заразным болезням животных на территории Брянской области в отчетном периоде (%);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Dn - количество установленных ограничительных мероприятий (карантина) по заразным болезням животных на территории Брянской области в отчетном периоде (%).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74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Io = Iz / In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Io - доля установленных ограничительных мероприятий (карантина) по заразным болезням животных на территории Брянской области в отчетном периоде (%);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Iz - количество установленных ограничительных мероприятий (карантина) по заразным болезням животных на территории Брянской области в отчетном периоде (единиц);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 - количество выявленных очагов заразных болезней животных на территории Брянской области в отчетном периоде (единиц).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75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Sa = Si / Sn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Sa - доля животных свиноводческих хозяйств, имеющих низкий уровень биологической защиты, переведенных на альтернативные виды деятельности (%);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 - количество животных свиноводческих хозяйств, имеющих низкий уровень биологической защиты, переведенных на альтернативные виды деятельности (голов);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Sn - общее количество животных свиноводческих хозяйств, имеющих низкий уровень биологической защиты (голов).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 ред. Постановления Правительства Брянской области от 05.04.2021 N 115-п)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76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Lo = Li / Ln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Lo - доля ликвидированных неиспользуемых (бесхозяйных) скотомогильников на территории Брянской области (%);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Li - количество ликвидированных неиспользуемых (бесхозяйных) скотомогильников на территории Брянской области в отчетном периоде (единиц);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Ln - общее количество неиспользуемых (бесхозяйных) скотомогильников на территории Брянской области, подлежащих ликвидации в отчетном периоде (единиц).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77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To = Ti / Tn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To - доля модернизированных госветучреждений области, реализующих мероприятия по стабилизации и улучшению эпизоотической ситуации (%);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Ti - количество модернизированных госветучреждений области, реализующих мероприятия по стабилизации и улучшению эпизоотической ситуации (ед.);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Tn - общее количество госветучреждений области в отчетном периоде (ед.).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78 подтверждается фактическими данными постоянного мониторинга управления ветеринарии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79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Fo = Fi / Fn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Fo - увеличение количества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 (%);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Fi - количество проведенных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 в отчетном периоде (исследований);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Fn - количество проведенных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 в предыдущем периоде (исследований).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80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Ho = Hi / Hn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Ho - увеличение количества мониторинговых исследований сырья и продукции животного происхождения, произведенной на территории Брянской области (%);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Hi - количество проведенных мониторинговых исследований сырья и продукции животного происхождения, произведенной на территории Брянской области в отчетном периоде (исследований);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Hn - количество проведенных мониторинговых исследований сырья и продукции животного происхождения, произведенной на территории Брянской области в предыдущем периоде (исследований).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81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 = Mf / Mp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 - выполнение плана мониторинговых исследований за состоянием здоровья животных и ветеринарно-санитарной безопасностью подконтрольной продукции (%);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Mf - количество проведенных исследований в отчетном периоде (исследований);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Mp - общее количество запланированных исследований на отчетный период (исследований).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82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Bo = Bi / Bn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Bo - полнота вакцинации животных (%);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Bi - количество животных, подвергнутых вакцинациям в отчетном периоде (голов);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Bn - общее количество животных, запланированных к вакцинации в отчетном периоде (голов).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83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 = Pi / Pn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 - полнота проведения диагностических исследований животных в отчетном периоде (%);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Pi - количество проведенных диагностических исследований животных в отчетном периоде (голов);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Pn - общее количество запланированных диагностических исследований животных в отчетном периоде (голов).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84 - 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85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= А / Б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- доля лиц, осуществляющих розничную продажу алкогольной продукции и представивших декларации в отчетном периоде;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- количество лиц, сдавших декларации по розничной продаже алкогольной продукции;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 - количество лиц, осуществляющих розничную продажу алкогольной продукции.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86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 = Ж / Е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 - доля решений, предписаний, постановлений и других исполнительных документов, выпущенных по результатам проведенных проверок, исполненных в отчетном периоде, от общего числа документов, которые должны быть исполнены в отчетном периоде;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 - общее число исполненных документов (решений, предписаний, постановлений и других исполнительных документов), выпущенных по результатам проведенных проверок, которые должны быть исполнены в отчетном периоде;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 - общее количество документов (решений, предписаний, постановлений и других исполнительных документов), выпущенных по результатам проведенных проверок, которые должны быть исполнены в отчетном периоде.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87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Os = Sf / Nr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Os - обеспеченность населения площадью торговых объектов;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Sf - фактическая площадь торговых объектов в кв. метрах на 1 тыс. человек (по оперативным данным органов местного самоуправления Брянской области).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Nr - утвержденный норматив минимальной обеспеченности населения площадью торговых объектов по Брянской области в кв. метрах на 1 тыс. человек: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Nr = N</w:t>
      </w:r>
      <w:r>
        <w:rPr>
          <w:color w:val="000000"/>
          <w:sz w:val="28"/>
          <w:szCs w:val="28"/>
          <w:vertAlign w:val="subscript"/>
        </w:rPr>
        <w:t>r</w:t>
      </w:r>
      <w:r>
        <w:rPr>
          <w:color w:val="000000"/>
          <w:sz w:val="28"/>
          <w:szCs w:val="28"/>
          <w:vertAlign w:val="superscript"/>
        </w:rPr>
        <w:t>прод</w:t>
      </w:r>
      <w:r>
        <w:rPr>
          <w:color w:val="000000"/>
          <w:sz w:val="28"/>
          <w:szCs w:val="28"/>
        </w:rPr>
        <w:t xml:space="preserve"> + N</w:t>
      </w:r>
      <w:r>
        <w:rPr>
          <w:color w:val="000000"/>
          <w:sz w:val="28"/>
          <w:szCs w:val="28"/>
          <w:vertAlign w:val="subscript"/>
        </w:rPr>
        <w:t>r</w:t>
      </w:r>
      <w:r>
        <w:rPr>
          <w:color w:val="000000"/>
          <w:sz w:val="28"/>
          <w:szCs w:val="28"/>
          <w:vertAlign w:val="superscript"/>
        </w:rPr>
        <w:t>непрод</w:t>
      </w:r>
      <w:r>
        <w:rPr>
          <w:color w:val="000000"/>
          <w:sz w:val="28"/>
          <w:szCs w:val="28"/>
        </w:rPr>
        <w:t>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  <w:vertAlign w:val="subscript"/>
        </w:rPr>
        <w:t>r</w:t>
      </w:r>
      <w:r>
        <w:rPr>
          <w:color w:val="000000"/>
          <w:sz w:val="28"/>
          <w:szCs w:val="28"/>
          <w:vertAlign w:val="superscript"/>
        </w:rPr>
        <w:t>прод</w:t>
      </w:r>
      <w:r>
        <w:rPr>
          <w:color w:val="000000"/>
          <w:sz w:val="28"/>
          <w:szCs w:val="28"/>
        </w:rPr>
        <w:t xml:space="preserve"> - утвержденный норматив минимальной обеспеченности населения площадью торговых объектов по продаже продовольственных товаров по субъекту Российской Федерации в кв. м на 1 тыс. человек;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  <w:vertAlign w:val="subscript"/>
        </w:rPr>
        <w:t>r</w:t>
      </w:r>
      <w:r>
        <w:rPr>
          <w:color w:val="000000"/>
          <w:sz w:val="28"/>
          <w:szCs w:val="28"/>
          <w:vertAlign w:val="superscript"/>
        </w:rPr>
        <w:t>непрод</w:t>
      </w:r>
      <w:r>
        <w:rPr>
          <w:color w:val="000000"/>
          <w:sz w:val="28"/>
          <w:szCs w:val="28"/>
        </w:rPr>
        <w:t xml:space="preserve"> - утвержденный норматив минимальной обеспеченности населения площадью торговых объектов по продаже непродовольственных товаров по субъекту Российской Федерации (муниципальному образованию) в кв. м на 1 тыс. человек.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88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 = Pp / Pt x 100%,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 - динамика поступлений в бюджеты всех уровней в сфере «Оптовая и розничная торговля, ремонт автотранспортных средств, мотоциклов, бытовых изделий и предметов личного пользования»;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Pp - сумма налоговых поступлений в плановом году;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Pt - сумма налоговых поступлений в текущем году.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89 - 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 90 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= (St / Sp - 1) x 100%, где:</w:t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- прирост количества объектов, на которых проведен анализ состояния организации торговли, общественного питания, бытовых услуг;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St - количество объектов, в которых проведен анализ состояния организации торговли, общественного питания, бытовых услуг в текущем году (или планируемом периоде);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Sp - количество объектов, в которых проведен анализ состояния организации торговли, общественного питания, бытовых услуг в предшествующем году.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Индикаторы 91, 92 - подтверждаются фактическими данными постоянного мониторинга управления потребительского рынка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c53e9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Application>LibreOffice/7.0.1.2$Windows_X86_64 LibreOffice_project/7cbcfc562f6eb6708b5ff7d7397325de9e764452</Application>
  <Pages>7</Pages>
  <Words>1636</Words>
  <Characters>11533</Characters>
  <CharactersWithSpaces>13049</CharactersWithSpaces>
  <Paragraphs>121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2021-07-01T08:53:00Z</dcterms:created>
  <dc:creator>ПРОВЕРКА</dc:creator>
  <dc:description/>
  <dc:language>ru-RU</dc:language>
  <cp:lastModifiedBy/>
  <dcterms:modified xsi:type="dcterms:W3CDTF">2021-10-27T08:50:45Z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